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877B7" w:rsidTr="00D877B7">
        <w:trPr>
          <w:tblCellSpacing w:w="0" w:type="dxa"/>
        </w:trPr>
        <w:tc>
          <w:tcPr>
            <w:tcW w:w="0" w:type="auto"/>
            <w:shd w:val="clear" w:color="auto" w:fill="E0F4FC"/>
            <w:vAlign w:val="center"/>
            <w:hideMark/>
          </w:tcPr>
          <w:p w:rsidR="00D877B7" w:rsidRDefault="00D877B7" w:rsidP="00D877B7">
            <w:pPr>
              <w:jc w:val="center"/>
              <w:rPr>
                <w:rFonts w:ascii="Arial" w:hAnsi="Arial" w:cs="Arial"/>
                <w:b/>
                <w:bCs/>
                <w:sz w:val="20"/>
                <w:szCs w:val="20"/>
              </w:rPr>
            </w:pPr>
            <w:r>
              <w:rPr>
                <w:rFonts w:ascii="Arial" w:hAnsi="Arial" w:cs="Arial"/>
                <w:b/>
                <w:bCs/>
                <w:sz w:val="20"/>
                <w:szCs w:val="20"/>
              </w:rPr>
              <w:t xml:space="preserve">Thuyên chuyển công tác đối với viên chức </w:t>
            </w:r>
          </w:p>
          <w:p w:rsidR="00D877B7" w:rsidRDefault="00D877B7" w:rsidP="00D877B7">
            <w:pPr>
              <w:jc w:val="center"/>
              <w:rPr>
                <w:rFonts w:ascii="Arial" w:hAnsi="Arial" w:cs="Arial"/>
                <w:b/>
                <w:bCs/>
                <w:sz w:val="20"/>
                <w:szCs w:val="20"/>
              </w:rPr>
            </w:pPr>
            <w:r>
              <w:rPr>
                <w:rFonts w:ascii="Arial" w:hAnsi="Arial" w:cs="Arial"/>
                <w:b/>
                <w:bCs/>
                <w:sz w:val="20"/>
                <w:szCs w:val="20"/>
              </w:rPr>
              <w:t>là giáo sư, Phó Giáo sư, Tiến sỹ và tương đương ra ngoài tỉnh công tác.</w:t>
            </w:r>
          </w:p>
        </w:tc>
      </w:tr>
      <w:tr w:rsidR="00D877B7" w:rsidTr="00D877B7">
        <w:trPr>
          <w:tblCellSpacing w:w="0" w:type="dxa"/>
        </w:trPr>
        <w:tc>
          <w:tcPr>
            <w:tcW w:w="0" w:type="auto"/>
            <w:shd w:val="clear" w:color="auto" w:fill="FFFFFF"/>
            <w:vAlign w:val="center"/>
            <w:hideMark/>
          </w:tcPr>
          <w:p w:rsidR="00D877B7" w:rsidRDefault="00D877B7" w:rsidP="00D877B7">
            <w:pPr>
              <w:rPr>
                <w:rStyle w:val="Strong"/>
                <w:rFonts w:ascii="Arial" w:hAnsi="Arial" w:cs="Arial"/>
                <w:sz w:val="20"/>
                <w:szCs w:val="20"/>
              </w:rPr>
            </w:pPr>
          </w:p>
          <w:p w:rsidR="00D877B7" w:rsidRDefault="00D877B7" w:rsidP="00D877B7">
            <w:pPr>
              <w:rPr>
                <w:rFonts w:ascii="Arial" w:hAnsi="Arial" w:cs="Arial"/>
              </w:rPr>
            </w:pPr>
            <w:r>
              <w:rPr>
                <w:rStyle w:val="Strong"/>
                <w:rFonts w:ascii="Arial" w:hAnsi="Arial" w:cs="Arial"/>
                <w:sz w:val="20"/>
                <w:szCs w:val="20"/>
              </w:rPr>
              <w:t>NỘI DUNG CỤ THỂ CỦA THỦ TỤC HÀNH CHÍNH</w:t>
            </w:r>
          </w:p>
          <w:p w:rsidR="00D877B7" w:rsidRDefault="00D877B7" w:rsidP="00D877B7">
            <w:pPr>
              <w:jc w:val="both"/>
              <w:rPr>
                <w:rFonts w:ascii="Arial" w:hAnsi="Arial" w:cs="Arial"/>
              </w:rPr>
            </w:pPr>
            <w:r>
              <w:rPr>
                <w:rStyle w:val="Strong"/>
                <w:rFonts w:ascii="Arial" w:hAnsi="Arial" w:cs="Arial"/>
                <w:sz w:val="20"/>
                <w:szCs w:val="20"/>
              </w:rPr>
              <w:t xml:space="preserve">1. Trình tự thực </w:t>
            </w:r>
            <w:proofErr w:type="gramStart"/>
            <w:r>
              <w:rPr>
                <w:rStyle w:val="Strong"/>
                <w:rFonts w:ascii="Arial" w:hAnsi="Arial" w:cs="Arial"/>
                <w:sz w:val="20"/>
                <w:szCs w:val="20"/>
              </w:rPr>
              <w:t>hiện :</w:t>
            </w:r>
            <w:proofErr w:type="gramEnd"/>
          </w:p>
          <w:p w:rsidR="00D877B7" w:rsidRDefault="00D877B7" w:rsidP="00D877B7">
            <w:pPr>
              <w:jc w:val="both"/>
              <w:rPr>
                <w:rFonts w:ascii="Arial" w:hAnsi="Arial" w:cs="Arial"/>
              </w:rPr>
            </w:pPr>
            <w:r>
              <w:rPr>
                <w:rStyle w:val="Strong"/>
                <w:rFonts w:ascii="Arial" w:hAnsi="Arial" w:cs="Arial"/>
                <w:sz w:val="20"/>
                <w:szCs w:val="20"/>
              </w:rPr>
              <w:t>Bước 1</w:t>
            </w:r>
            <w:r>
              <w:rPr>
                <w:rFonts w:ascii="Arial" w:hAnsi="Arial" w:cs="Arial"/>
                <w:sz w:val="20"/>
                <w:szCs w:val="20"/>
              </w:rPr>
              <w:t>. </w:t>
            </w:r>
            <w:r>
              <w:rPr>
                <w:rStyle w:val="Strong"/>
                <w:rFonts w:ascii="Arial" w:hAnsi="Arial" w:cs="Arial"/>
                <w:sz w:val="20"/>
                <w:szCs w:val="20"/>
              </w:rPr>
              <w:t>Chuẩn bị hồ sơ: </w:t>
            </w:r>
            <w:r>
              <w:rPr>
                <w:rFonts w:ascii="Arial" w:hAnsi="Arial" w:cs="Arial"/>
                <w:sz w:val="20"/>
                <w:szCs w:val="20"/>
              </w:rPr>
              <w:t>Cá nhân chuẩn bị hồ sơ hợp lệ theo qui định;</w:t>
            </w:r>
          </w:p>
          <w:p w:rsidR="00D877B7" w:rsidRDefault="00D877B7" w:rsidP="00D877B7">
            <w:pPr>
              <w:jc w:val="both"/>
              <w:rPr>
                <w:rFonts w:ascii="Arial" w:hAnsi="Arial" w:cs="Arial"/>
              </w:rPr>
            </w:pPr>
            <w:r>
              <w:rPr>
                <w:rStyle w:val="Strong"/>
                <w:rFonts w:ascii="Arial" w:hAnsi="Arial" w:cs="Arial"/>
                <w:sz w:val="20"/>
                <w:szCs w:val="20"/>
              </w:rPr>
              <w:t>Bước 2</w:t>
            </w:r>
            <w:r>
              <w:rPr>
                <w:rFonts w:ascii="Arial" w:hAnsi="Arial" w:cs="Arial"/>
                <w:sz w:val="20"/>
                <w:szCs w:val="20"/>
              </w:rPr>
              <w:t>. </w:t>
            </w:r>
            <w:r>
              <w:rPr>
                <w:rStyle w:val="Strong"/>
                <w:rFonts w:ascii="Arial" w:hAnsi="Arial" w:cs="Arial"/>
                <w:sz w:val="20"/>
                <w:szCs w:val="20"/>
              </w:rPr>
              <w:t>Tiếp nhận:</w:t>
            </w:r>
          </w:p>
          <w:p w:rsidR="00D877B7" w:rsidRDefault="00D877B7" w:rsidP="00D877B7">
            <w:pPr>
              <w:jc w:val="both"/>
              <w:rPr>
                <w:rFonts w:ascii="Arial" w:hAnsi="Arial" w:cs="Arial"/>
              </w:rPr>
            </w:pPr>
            <w:r>
              <w:rPr>
                <w:rFonts w:ascii="Arial" w:hAnsi="Arial" w:cs="Arial"/>
                <w:sz w:val="20"/>
                <w:szCs w:val="20"/>
              </w:rPr>
              <w:t>- Địa điểm: Bộ phận tiếp nhận và trả kết quả Sở Nội vụ (số nhà 44 Đại lộ Lê Lợi, phường Tân Sơn, thành phố Thanh Hoá).</w:t>
            </w:r>
            <w:r w:rsidR="00A017A7">
              <w:rPr>
                <w:rFonts w:ascii="Arial" w:hAnsi="Arial" w:cs="Arial"/>
                <w:sz w:val="20"/>
                <w:szCs w:val="20"/>
              </w:rPr>
              <w:t xml:space="preserve"> </w:t>
            </w:r>
          </w:p>
          <w:p w:rsidR="00D877B7" w:rsidRDefault="00D877B7" w:rsidP="00D877B7">
            <w:pPr>
              <w:jc w:val="both"/>
              <w:rPr>
                <w:rFonts w:ascii="Arial" w:hAnsi="Arial" w:cs="Arial"/>
              </w:rPr>
            </w:pPr>
            <w:r>
              <w:rPr>
                <w:rFonts w:ascii="Arial" w:hAnsi="Arial" w:cs="Arial"/>
                <w:sz w:val="20"/>
                <w:szCs w:val="20"/>
              </w:rPr>
              <w:t>- Trình tự tiếp nhận: Công chức tiếp nhận; kiểm tra tính pháp lý và nội dung hồ sơ:</w:t>
            </w:r>
          </w:p>
          <w:p w:rsidR="00D877B7" w:rsidRDefault="00D877B7" w:rsidP="00D877B7">
            <w:pPr>
              <w:jc w:val="both"/>
              <w:rPr>
                <w:rFonts w:ascii="Arial" w:hAnsi="Arial" w:cs="Arial"/>
              </w:rPr>
            </w:pPr>
            <w:r>
              <w:rPr>
                <w:rFonts w:ascii="Arial" w:hAnsi="Arial" w:cs="Arial"/>
                <w:sz w:val="20"/>
                <w:szCs w:val="20"/>
              </w:rPr>
              <w:t>   +Trường hợp hồ sơ đã đầy đủ, hợp lệ thì viết giấy hẹn và trao cho người nộp;</w:t>
            </w:r>
          </w:p>
          <w:p w:rsidR="00D877B7" w:rsidRDefault="00D877B7" w:rsidP="00D877B7">
            <w:pPr>
              <w:jc w:val="both"/>
              <w:rPr>
                <w:rFonts w:ascii="Arial" w:hAnsi="Arial" w:cs="Arial"/>
              </w:rPr>
            </w:pPr>
            <w:r>
              <w:rPr>
                <w:rFonts w:ascii="Arial" w:hAnsi="Arial" w:cs="Arial"/>
                <w:sz w:val="20"/>
                <w:szCs w:val="20"/>
              </w:rPr>
              <w:t>   +Trường hợp hồ sơ thiếu, hoặc không hợp lệ thì công chức tiếp nhận hướng dẫn để người đến nộp hồ sơ hoàn chỉnh hồ sơ theo qui định.</w:t>
            </w:r>
          </w:p>
          <w:p w:rsidR="00D877B7" w:rsidRDefault="00D877B7" w:rsidP="00D877B7">
            <w:pPr>
              <w:jc w:val="both"/>
              <w:rPr>
                <w:rFonts w:ascii="Arial" w:hAnsi="Arial" w:cs="Arial"/>
              </w:rPr>
            </w:pPr>
            <w:r>
              <w:rPr>
                <w:rFonts w:ascii="Arial" w:hAnsi="Arial" w:cs="Arial"/>
                <w:sz w:val="20"/>
                <w:szCs w:val="20"/>
              </w:rPr>
              <w:t>-Thời gian: Trong giờ hành chính các ngày làm việc theo qui định</w:t>
            </w:r>
          </w:p>
          <w:p w:rsidR="00D877B7" w:rsidRDefault="00D877B7" w:rsidP="00D877B7">
            <w:pPr>
              <w:jc w:val="both"/>
              <w:rPr>
                <w:rFonts w:ascii="Arial" w:hAnsi="Arial" w:cs="Arial"/>
              </w:rPr>
            </w:pPr>
            <w:r>
              <w:rPr>
                <w:rStyle w:val="Strong"/>
                <w:rFonts w:ascii="Arial" w:hAnsi="Arial" w:cs="Arial"/>
                <w:sz w:val="20"/>
                <w:szCs w:val="20"/>
              </w:rPr>
              <w:t>Bước 3. Xử lý hồ sơ:</w:t>
            </w:r>
          </w:p>
          <w:p w:rsidR="00D877B7" w:rsidRDefault="00D877B7" w:rsidP="00D877B7">
            <w:pPr>
              <w:jc w:val="both"/>
              <w:rPr>
                <w:rFonts w:ascii="Arial" w:hAnsi="Arial" w:cs="Arial"/>
              </w:rPr>
            </w:pPr>
            <w:r>
              <w:rPr>
                <w:rFonts w:ascii="Arial" w:hAnsi="Arial" w:cs="Arial"/>
                <w:sz w:val="20"/>
                <w:szCs w:val="20"/>
              </w:rPr>
              <w:t>- Bộ phận tiếp nhận và trả kết quả chuyển hồ sơ đến Phòng Quản lý công chức;</w:t>
            </w:r>
          </w:p>
          <w:p w:rsidR="00D877B7" w:rsidRDefault="00D877B7" w:rsidP="00D877B7">
            <w:pPr>
              <w:jc w:val="both"/>
              <w:rPr>
                <w:rFonts w:ascii="Arial" w:hAnsi="Arial" w:cs="Arial"/>
              </w:rPr>
            </w:pPr>
            <w:r>
              <w:rPr>
                <w:rFonts w:ascii="Arial" w:hAnsi="Arial" w:cs="Arial"/>
                <w:sz w:val="20"/>
                <w:szCs w:val="20"/>
              </w:rPr>
              <w:t>- Phòng Quản lý công chức thẩm định, dự thảo tờ trình và quyết định để Giám đốc sở trình Chủ tịch UBND tỉnh ký quyết định thuyên chuyển công tác (qua Văn phòng UBND tỉnh).</w:t>
            </w:r>
          </w:p>
          <w:p w:rsidR="00D877B7" w:rsidRDefault="00D877B7" w:rsidP="00D877B7">
            <w:pPr>
              <w:jc w:val="both"/>
              <w:rPr>
                <w:rFonts w:ascii="Arial" w:hAnsi="Arial" w:cs="Arial"/>
              </w:rPr>
            </w:pPr>
            <w:r>
              <w:rPr>
                <w:rFonts w:ascii="Arial" w:hAnsi="Arial" w:cs="Arial"/>
                <w:sz w:val="20"/>
                <w:szCs w:val="20"/>
              </w:rPr>
              <w:t>- Văn thư Sở Nội vụ nhận kết quả từ Văn phòng UBND tỉnh giao bộ phận tiếp nhận và trả kết quả.</w:t>
            </w:r>
          </w:p>
          <w:p w:rsidR="00D877B7" w:rsidRDefault="00D877B7" w:rsidP="00D877B7">
            <w:pPr>
              <w:jc w:val="both"/>
              <w:rPr>
                <w:rFonts w:ascii="Arial" w:hAnsi="Arial" w:cs="Arial"/>
              </w:rPr>
            </w:pPr>
            <w:r>
              <w:rPr>
                <w:rStyle w:val="Strong"/>
                <w:rFonts w:ascii="Arial" w:hAnsi="Arial" w:cs="Arial"/>
                <w:sz w:val="20"/>
                <w:szCs w:val="20"/>
              </w:rPr>
              <w:t>Bước 4. Trả kết quả:</w:t>
            </w:r>
          </w:p>
          <w:p w:rsidR="00D877B7" w:rsidRDefault="00D877B7" w:rsidP="00D877B7">
            <w:pPr>
              <w:jc w:val="both"/>
              <w:rPr>
                <w:rFonts w:ascii="Arial" w:hAnsi="Arial" w:cs="Arial"/>
              </w:rPr>
            </w:pPr>
            <w:r>
              <w:rPr>
                <w:rFonts w:ascii="Arial" w:hAnsi="Arial" w:cs="Arial"/>
                <w:sz w:val="20"/>
                <w:szCs w:val="20"/>
              </w:rPr>
              <w:t>- Địa điểm: Tại bộ phận tiếp nhận và trả kết quả Sở Nội vụ:</w:t>
            </w:r>
          </w:p>
          <w:p w:rsidR="00D877B7" w:rsidRDefault="00D877B7" w:rsidP="00D877B7">
            <w:pPr>
              <w:jc w:val="both"/>
              <w:rPr>
                <w:rFonts w:ascii="Arial" w:hAnsi="Arial" w:cs="Arial"/>
              </w:rPr>
            </w:pPr>
            <w:r>
              <w:rPr>
                <w:rFonts w:ascii="Arial" w:hAnsi="Arial" w:cs="Arial"/>
                <w:sz w:val="20"/>
                <w:szCs w:val="20"/>
              </w:rPr>
              <w:t>- Trình tự: Đến hẹn, tổ chức mang phiếu hẹn đến bộ phận tiếp nhận và trả kết quả nộp giấy hẹn và nhận kết quả.</w:t>
            </w:r>
            <w:bookmarkStart w:id="0" w:name="_GoBack"/>
            <w:bookmarkEnd w:id="0"/>
          </w:p>
          <w:p w:rsidR="00D877B7" w:rsidRDefault="00D877B7" w:rsidP="00D877B7">
            <w:pPr>
              <w:rPr>
                <w:rFonts w:ascii="Arial" w:hAnsi="Arial" w:cs="Arial"/>
              </w:rPr>
            </w:pPr>
            <w:r>
              <w:rPr>
                <w:rFonts w:ascii="Arial" w:hAnsi="Arial" w:cs="Arial"/>
                <w:sz w:val="20"/>
                <w:szCs w:val="20"/>
              </w:rPr>
              <w:t>- Thời gian: Trong giờ hành chính các ngày làm việc theo qui định.</w:t>
            </w:r>
          </w:p>
          <w:p w:rsidR="00D877B7" w:rsidRDefault="00D877B7" w:rsidP="00D877B7">
            <w:pPr>
              <w:rPr>
                <w:rFonts w:ascii="Arial" w:hAnsi="Arial" w:cs="Arial"/>
              </w:rPr>
            </w:pPr>
            <w:r>
              <w:rPr>
                <w:rStyle w:val="Strong"/>
                <w:rFonts w:ascii="Arial" w:hAnsi="Arial" w:cs="Arial"/>
                <w:sz w:val="20"/>
                <w:szCs w:val="20"/>
              </w:rPr>
              <w:t>2. Cách thức thực hiện</w:t>
            </w:r>
            <w:r>
              <w:rPr>
                <w:rFonts w:ascii="Arial" w:hAnsi="Arial" w:cs="Arial"/>
                <w:sz w:val="20"/>
                <w:szCs w:val="20"/>
              </w:rPr>
              <w:t>: Trực tiếp tại bộ phận tiếp nhận và trả kết quả Sở Nội vụ.</w:t>
            </w:r>
          </w:p>
          <w:p w:rsidR="00D877B7" w:rsidRDefault="00D877B7" w:rsidP="00D877B7">
            <w:pPr>
              <w:jc w:val="both"/>
              <w:rPr>
                <w:rFonts w:ascii="Arial" w:hAnsi="Arial" w:cs="Arial"/>
              </w:rPr>
            </w:pPr>
            <w:r>
              <w:rPr>
                <w:rStyle w:val="Strong"/>
                <w:rFonts w:ascii="Arial" w:hAnsi="Arial" w:cs="Arial"/>
                <w:sz w:val="20"/>
                <w:szCs w:val="20"/>
              </w:rPr>
              <w:t>3. Hồ sơ:</w:t>
            </w:r>
          </w:p>
          <w:p w:rsidR="00D877B7" w:rsidRDefault="00D877B7" w:rsidP="00D877B7">
            <w:pPr>
              <w:jc w:val="both"/>
              <w:rPr>
                <w:rFonts w:ascii="Arial" w:hAnsi="Arial" w:cs="Arial"/>
              </w:rPr>
            </w:pPr>
            <w:r>
              <w:rPr>
                <w:rFonts w:ascii="Arial" w:hAnsi="Arial" w:cs="Arial"/>
                <w:sz w:val="20"/>
                <w:szCs w:val="20"/>
              </w:rPr>
              <w:t>a) Thành phần hồ sơ, bao gồm:</w:t>
            </w:r>
          </w:p>
          <w:p w:rsidR="00D877B7" w:rsidRDefault="00D877B7" w:rsidP="00D877B7">
            <w:pPr>
              <w:jc w:val="both"/>
              <w:rPr>
                <w:rFonts w:ascii="Arial" w:hAnsi="Arial" w:cs="Arial"/>
              </w:rPr>
            </w:pPr>
            <w:r>
              <w:rPr>
                <w:rFonts w:ascii="Arial" w:hAnsi="Arial" w:cs="Arial"/>
                <w:sz w:val="20"/>
                <w:szCs w:val="20"/>
              </w:rPr>
              <w:t>+ Đơn xin chuyển công tác của cá nhân (Không mẫu, 01 bản chính);</w:t>
            </w:r>
          </w:p>
          <w:p w:rsidR="00D877B7" w:rsidRDefault="00D877B7" w:rsidP="00D877B7">
            <w:pPr>
              <w:jc w:val="both"/>
              <w:rPr>
                <w:rFonts w:ascii="Arial" w:hAnsi="Arial" w:cs="Arial"/>
              </w:rPr>
            </w:pPr>
            <w:r>
              <w:rPr>
                <w:rFonts w:ascii="Arial" w:hAnsi="Arial" w:cs="Arial"/>
                <w:sz w:val="20"/>
                <w:szCs w:val="20"/>
              </w:rPr>
              <w:t>+ Công văn tiếp nhận của đơn vị mới (Không mẫu, 01 bản chính);</w:t>
            </w:r>
          </w:p>
          <w:p w:rsidR="00D877B7" w:rsidRDefault="00D877B7" w:rsidP="00D877B7">
            <w:pPr>
              <w:jc w:val="both"/>
              <w:rPr>
                <w:rFonts w:ascii="Arial" w:hAnsi="Arial" w:cs="Arial"/>
              </w:rPr>
            </w:pPr>
            <w:r>
              <w:rPr>
                <w:rFonts w:ascii="Arial" w:hAnsi="Arial" w:cs="Arial"/>
                <w:sz w:val="20"/>
                <w:szCs w:val="20"/>
              </w:rPr>
              <w:t>+ Công văn của đơn vị đang công tác đồng ý cho chuyển công tác (Không mẫu, 01 bản chính);</w:t>
            </w:r>
          </w:p>
          <w:p w:rsidR="00D877B7" w:rsidRDefault="00D877B7" w:rsidP="00D877B7">
            <w:pPr>
              <w:jc w:val="both"/>
              <w:rPr>
                <w:rFonts w:ascii="Arial" w:hAnsi="Arial" w:cs="Arial"/>
              </w:rPr>
            </w:pPr>
            <w:r>
              <w:rPr>
                <w:rFonts w:ascii="Arial" w:hAnsi="Arial" w:cs="Arial"/>
                <w:sz w:val="20"/>
                <w:szCs w:val="20"/>
              </w:rPr>
              <w:t>+ Sơ yếu lý lịch có xác nhận của cơ quan đang công tác (Không mẫu, 01 bản chính);</w:t>
            </w:r>
          </w:p>
          <w:p w:rsidR="00D877B7" w:rsidRDefault="00D877B7" w:rsidP="00D877B7">
            <w:pPr>
              <w:jc w:val="both"/>
              <w:rPr>
                <w:rFonts w:ascii="Arial" w:hAnsi="Arial" w:cs="Arial"/>
              </w:rPr>
            </w:pPr>
            <w:r>
              <w:rPr>
                <w:rFonts w:ascii="Arial" w:hAnsi="Arial" w:cs="Arial"/>
                <w:sz w:val="20"/>
                <w:szCs w:val="20"/>
              </w:rPr>
              <w:t>+ Bằng chuyên môn, nghiệp vụ (Không mẫu, 01 bản sao công chứng);</w:t>
            </w:r>
          </w:p>
          <w:p w:rsidR="00D877B7" w:rsidRDefault="00D877B7" w:rsidP="00D877B7">
            <w:pPr>
              <w:jc w:val="both"/>
              <w:rPr>
                <w:rFonts w:ascii="Arial" w:hAnsi="Arial" w:cs="Arial"/>
              </w:rPr>
            </w:pPr>
            <w:r>
              <w:rPr>
                <w:rFonts w:ascii="Arial" w:hAnsi="Arial" w:cs="Arial"/>
                <w:sz w:val="20"/>
                <w:szCs w:val="20"/>
              </w:rPr>
              <w:t>+ Quyết định tuyển dụng, quyết định xếp ngạch, bậc lương hiện hưởng của cấp có thẩm quyền (Bản sao công chứng).</w:t>
            </w:r>
          </w:p>
          <w:p w:rsidR="00D877B7" w:rsidRDefault="00D877B7" w:rsidP="00D877B7">
            <w:pPr>
              <w:rPr>
                <w:rFonts w:ascii="Arial" w:hAnsi="Arial" w:cs="Arial"/>
              </w:rPr>
            </w:pPr>
            <w:r>
              <w:rPr>
                <w:rFonts w:ascii="Arial" w:hAnsi="Arial" w:cs="Arial"/>
                <w:sz w:val="20"/>
                <w:szCs w:val="20"/>
              </w:rPr>
              <w:t>b) Số lượng hồ sơ: 02 bộ.</w:t>
            </w:r>
          </w:p>
          <w:p w:rsidR="00D877B7" w:rsidRDefault="00D877B7" w:rsidP="00D877B7">
            <w:pPr>
              <w:jc w:val="both"/>
              <w:rPr>
                <w:rFonts w:ascii="Arial" w:hAnsi="Arial" w:cs="Arial"/>
              </w:rPr>
            </w:pPr>
            <w:r>
              <w:rPr>
                <w:rStyle w:val="Strong"/>
                <w:rFonts w:ascii="Arial" w:hAnsi="Arial" w:cs="Arial"/>
                <w:sz w:val="20"/>
                <w:szCs w:val="20"/>
              </w:rPr>
              <w:t>4. Thời hạn giải quyết: </w:t>
            </w:r>
            <w:r>
              <w:rPr>
                <w:rFonts w:ascii="Arial" w:hAnsi="Arial" w:cs="Arial"/>
                <w:sz w:val="20"/>
                <w:szCs w:val="20"/>
              </w:rPr>
              <w:t>11 ngày làm việc theo qui định.</w:t>
            </w:r>
          </w:p>
          <w:p w:rsidR="00D877B7" w:rsidRDefault="00D877B7" w:rsidP="00D877B7">
            <w:pPr>
              <w:jc w:val="both"/>
              <w:rPr>
                <w:rFonts w:ascii="Arial" w:hAnsi="Arial" w:cs="Arial"/>
              </w:rPr>
            </w:pPr>
            <w:r>
              <w:rPr>
                <w:rFonts w:ascii="Arial" w:hAnsi="Arial" w:cs="Arial"/>
                <w:sz w:val="20"/>
                <w:szCs w:val="20"/>
              </w:rPr>
              <w:t>- Tại Sở Nội vụ 04 ngày;</w:t>
            </w:r>
          </w:p>
          <w:p w:rsidR="00D877B7" w:rsidRDefault="00D877B7" w:rsidP="00D877B7">
            <w:pPr>
              <w:rPr>
                <w:rFonts w:ascii="Arial" w:hAnsi="Arial" w:cs="Arial"/>
              </w:rPr>
            </w:pPr>
            <w:r>
              <w:rPr>
                <w:rFonts w:ascii="Arial" w:hAnsi="Arial" w:cs="Arial"/>
                <w:sz w:val="20"/>
                <w:szCs w:val="20"/>
              </w:rPr>
              <w:t>- Tại Văn phòng UBND tỉnh 07 ngày.</w:t>
            </w:r>
          </w:p>
          <w:p w:rsidR="00D877B7" w:rsidRDefault="00D877B7" w:rsidP="00D877B7">
            <w:pPr>
              <w:jc w:val="both"/>
              <w:rPr>
                <w:rFonts w:ascii="Arial" w:hAnsi="Arial" w:cs="Arial"/>
              </w:rPr>
            </w:pPr>
            <w:r>
              <w:rPr>
                <w:rStyle w:val="Strong"/>
                <w:rFonts w:ascii="Arial" w:hAnsi="Arial" w:cs="Arial"/>
                <w:sz w:val="20"/>
                <w:szCs w:val="20"/>
              </w:rPr>
              <w:t>5. Cơ quan thực hiện thủ tục hành chính:</w:t>
            </w:r>
          </w:p>
          <w:p w:rsidR="00D877B7" w:rsidRDefault="00D877B7" w:rsidP="00D877B7">
            <w:pPr>
              <w:jc w:val="both"/>
              <w:rPr>
                <w:rFonts w:ascii="Arial" w:hAnsi="Arial" w:cs="Arial"/>
              </w:rPr>
            </w:pPr>
            <w:r>
              <w:rPr>
                <w:rFonts w:ascii="Arial" w:hAnsi="Arial" w:cs="Arial"/>
                <w:sz w:val="20"/>
                <w:szCs w:val="20"/>
              </w:rPr>
              <w:t>a) Cơ quan có thẩm quyền quyết định: Chủ tịch UBND tỉnh Thanh Hoá.</w:t>
            </w:r>
          </w:p>
          <w:p w:rsidR="00D877B7" w:rsidRDefault="00D877B7" w:rsidP="00D877B7">
            <w:pPr>
              <w:jc w:val="both"/>
              <w:rPr>
                <w:rFonts w:ascii="Arial" w:hAnsi="Arial" w:cs="Arial"/>
              </w:rPr>
            </w:pPr>
            <w:r>
              <w:rPr>
                <w:rFonts w:ascii="Arial" w:hAnsi="Arial" w:cs="Arial"/>
                <w:sz w:val="20"/>
                <w:szCs w:val="20"/>
              </w:rPr>
              <w:t>b) Cơ quan hoặc người có thẩm quyền được uỷ quyền hoặc phân cấp thực hiện (nếu có): Không.</w:t>
            </w:r>
          </w:p>
          <w:p w:rsidR="00D877B7" w:rsidRDefault="00D877B7" w:rsidP="00D877B7">
            <w:pPr>
              <w:jc w:val="both"/>
              <w:rPr>
                <w:rFonts w:ascii="Arial" w:hAnsi="Arial" w:cs="Arial"/>
              </w:rPr>
            </w:pPr>
            <w:r>
              <w:rPr>
                <w:rFonts w:ascii="Arial" w:hAnsi="Arial" w:cs="Arial"/>
                <w:sz w:val="20"/>
                <w:szCs w:val="20"/>
              </w:rPr>
              <w:t>c) Cơ quan trực tiếp thực hiện TTHC: Sở Nội vụ Thanh Hoá.</w:t>
            </w:r>
          </w:p>
          <w:p w:rsidR="00D877B7" w:rsidRDefault="00D877B7" w:rsidP="00D877B7">
            <w:pPr>
              <w:rPr>
                <w:rFonts w:ascii="Arial" w:hAnsi="Arial" w:cs="Arial"/>
              </w:rPr>
            </w:pPr>
            <w:r>
              <w:rPr>
                <w:rFonts w:ascii="Arial" w:hAnsi="Arial" w:cs="Arial"/>
                <w:sz w:val="20"/>
                <w:szCs w:val="20"/>
              </w:rPr>
              <w:t> d) Cơ quan phối hợp (nếu có): Không.</w:t>
            </w:r>
          </w:p>
          <w:p w:rsidR="00D877B7" w:rsidRDefault="00D877B7" w:rsidP="00D877B7">
            <w:pPr>
              <w:rPr>
                <w:rFonts w:ascii="Arial" w:hAnsi="Arial" w:cs="Arial"/>
              </w:rPr>
            </w:pPr>
            <w:r>
              <w:rPr>
                <w:rStyle w:val="Strong"/>
                <w:rFonts w:ascii="Arial" w:hAnsi="Arial" w:cs="Arial"/>
                <w:sz w:val="20"/>
                <w:szCs w:val="20"/>
              </w:rPr>
              <w:t>6. Đối tượng thực hiện thủ tục hành chính:</w:t>
            </w:r>
            <w:r>
              <w:rPr>
                <w:rFonts w:ascii="Arial" w:hAnsi="Arial" w:cs="Arial"/>
                <w:sz w:val="20"/>
                <w:szCs w:val="20"/>
              </w:rPr>
              <w:t> Cá nhân.</w:t>
            </w:r>
          </w:p>
          <w:p w:rsidR="00D877B7" w:rsidRDefault="00D877B7" w:rsidP="00D877B7">
            <w:pPr>
              <w:rPr>
                <w:rFonts w:ascii="Arial" w:hAnsi="Arial" w:cs="Arial"/>
              </w:rPr>
            </w:pPr>
            <w:r>
              <w:rPr>
                <w:rStyle w:val="Strong"/>
                <w:rFonts w:ascii="Arial" w:hAnsi="Arial" w:cs="Arial"/>
                <w:sz w:val="20"/>
                <w:szCs w:val="20"/>
              </w:rPr>
              <w:t>7. Yêu cầu hoàn thành mẫu đơn, mẫu tờ khai: </w:t>
            </w:r>
            <w:r>
              <w:rPr>
                <w:rFonts w:ascii="Arial" w:hAnsi="Arial" w:cs="Arial"/>
                <w:sz w:val="20"/>
                <w:szCs w:val="20"/>
              </w:rPr>
              <w:t>Không.</w:t>
            </w:r>
          </w:p>
          <w:p w:rsidR="00D877B7" w:rsidRDefault="00D877B7" w:rsidP="00D877B7">
            <w:pPr>
              <w:rPr>
                <w:rFonts w:ascii="Arial" w:hAnsi="Arial" w:cs="Arial"/>
              </w:rPr>
            </w:pPr>
            <w:r>
              <w:rPr>
                <w:rStyle w:val="Strong"/>
                <w:rFonts w:ascii="Arial" w:hAnsi="Arial" w:cs="Arial"/>
                <w:sz w:val="20"/>
                <w:szCs w:val="20"/>
              </w:rPr>
              <w:t>8. Phí, lệ phí</w:t>
            </w:r>
            <w:r>
              <w:rPr>
                <w:rFonts w:ascii="Arial" w:hAnsi="Arial" w:cs="Arial"/>
                <w:sz w:val="20"/>
                <w:szCs w:val="20"/>
              </w:rPr>
              <w:t>: Không.         </w:t>
            </w:r>
          </w:p>
          <w:p w:rsidR="00D877B7" w:rsidRDefault="00D877B7" w:rsidP="00D877B7">
            <w:pPr>
              <w:rPr>
                <w:rFonts w:ascii="Arial" w:hAnsi="Arial" w:cs="Arial"/>
              </w:rPr>
            </w:pPr>
            <w:r>
              <w:rPr>
                <w:rStyle w:val="Strong"/>
                <w:rFonts w:ascii="Arial" w:hAnsi="Arial" w:cs="Arial"/>
                <w:sz w:val="20"/>
                <w:szCs w:val="20"/>
              </w:rPr>
              <w:t>9. Kết quả của việc thực hiện thủ tục hành chính</w:t>
            </w:r>
            <w:r>
              <w:rPr>
                <w:rFonts w:ascii="Arial" w:hAnsi="Arial" w:cs="Arial"/>
                <w:sz w:val="20"/>
                <w:szCs w:val="20"/>
              </w:rPr>
              <w:t>: Quyết định hành chính.</w:t>
            </w:r>
          </w:p>
          <w:p w:rsidR="00D877B7" w:rsidRDefault="00D877B7" w:rsidP="00D877B7">
            <w:pPr>
              <w:rPr>
                <w:rFonts w:ascii="Arial" w:hAnsi="Arial" w:cs="Arial"/>
              </w:rPr>
            </w:pPr>
            <w:r>
              <w:rPr>
                <w:rStyle w:val="Strong"/>
                <w:rFonts w:ascii="Arial" w:hAnsi="Arial" w:cs="Arial"/>
                <w:sz w:val="20"/>
                <w:szCs w:val="20"/>
              </w:rPr>
              <w:t>10. Yêu cầu hoặc điều kiện để được cấp thủ tục hành chính</w:t>
            </w:r>
            <w:r>
              <w:rPr>
                <w:rFonts w:ascii="Arial" w:hAnsi="Arial" w:cs="Arial"/>
                <w:sz w:val="20"/>
                <w:szCs w:val="20"/>
              </w:rPr>
              <w:t>: Không.</w:t>
            </w:r>
          </w:p>
          <w:p w:rsidR="00D877B7" w:rsidRDefault="00D877B7" w:rsidP="00D877B7">
            <w:pPr>
              <w:jc w:val="both"/>
              <w:rPr>
                <w:rFonts w:ascii="Arial" w:hAnsi="Arial" w:cs="Arial"/>
              </w:rPr>
            </w:pPr>
            <w:r>
              <w:rPr>
                <w:rStyle w:val="Strong"/>
                <w:rFonts w:ascii="Arial" w:hAnsi="Arial" w:cs="Arial"/>
                <w:sz w:val="20"/>
                <w:szCs w:val="20"/>
              </w:rPr>
              <w:t>11. Căn cứ pháp lý của thủ tục hành chính</w:t>
            </w:r>
            <w:r>
              <w:rPr>
                <w:rFonts w:ascii="Arial" w:hAnsi="Arial" w:cs="Arial"/>
                <w:sz w:val="20"/>
                <w:szCs w:val="20"/>
              </w:rPr>
              <w:t>:</w:t>
            </w:r>
          </w:p>
          <w:p w:rsidR="00D877B7" w:rsidRDefault="00D877B7" w:rsidP="00D877B7">
            <w:pPr>
              <w:jc w:val="both"/>
              <w:rPr>
                <w:rFonts w:ascii="Arial" w:hAnsi="Arial" w:cs="Arial"/>
              </w:rPr>
            </w:pPr>
            <w:r>
              <w:rPr>
                <w:rFonts w:ascii="Arial" w:hAnsi="Arial" w:cs="Arial"/>
                <w:sz w:val="20"/>
                <w:szCs w:val="20"/>
              </w:rPr>
              <w:t>- Luật Tổ chức Chính phủ ngày 25 tháng 12 năm 2001;</w:t>
            </w:r>
          </w:p>
          <w:p w:rsidR="00D877B7" w:rsidRDefault="00D877B7" w:rsidP="00D877B7">
            <w:pPr>
              <w:jc w:val="both"/>
              <w:rPr>
                <w:rFonts w:ascii="Arial" w:hAnsi="Arial" w:cs="Arial"/>
              </w:rPr>
            </w:pPr>
            <w:r>
              <w:rPr>
                <w:rFonts w:ascii="Arial" w:hAnsi="Arial" w:cs="Arial"/>
                <w:sz w:val="20"/>
                <w:szCs w:val="20"/>
              </w:rPr>
              <w:t>- Luật tổ chức HĐND và UBND ngày 26 tháng 11 năm 2003;          </w:t>
            </w:r>
          </w:p>
          <w:p w:rsidR="00D877B7" w:rsidRDefault="00D877B7" w:rsidP="00D877B7">
            <w:pPr>
              <w:jc w:val="both"/>
              <w:rPr>
                <w:rFonts w:ascii="Arial" w:hAnsi="Arial" w:cs="Arial"/>
              </w:rPr>
            </w:pPr>
            <w:r>
              <w:rPr>
                <w:rFonts w:ascii="Arial" w:hAnsi="Arial" w:cs="Arial"/>
                <w:sz w:val="20"/>
                <w:szCs w:val="20"/>
              </w:rPr>
              <w:t>- Nghị định số 116/2003/NĐ-CP ngày 10/10/2003 của Chính phủ về tuyển dụng, sử dụng và quản lý viên chức trong các đơn vị sự nghiệp nhà nước;</w:t>
            </w:r>
          </w:p>
          <w:p w:rsidR="00D877B7" w:rsidRDefault="00D877B7" w:rsidP="00D877B7">
            <w:pPr>
              <w:jc w:val="both"/>
              <w:rPr>
                <w:rFonts w:ascii="Arial" w:hAnsi="Arial" w:cs="Arial"/>
              </w:rPr>
            </w:pPr>
            <w:r>
              <w:rPr>
                <w:rFonts w:ascii="Arial" w:hAnsi="Arial" w:cs="Arial"/>
                <w:sz w:val="20"/>
                <w:szCs w:val="20"/>
              </w:rPr>
              <w:t>- Quyết định số số 685/2007/QĐ-UBND ngày 02/3/2007 của UBND tỉnh về phân công, phân cấp về tổ chức bộ máy và cán bộ, công chức;</w:t>
            </w:r>
          </w:p>
          <w:p w:rsidR="00D877B7" w:rsidRDefault="00D877B7" w:rsidP="00D877B7">
            <w:pPr>
              <w:jc w:val="both"/>
              <w:rPr>
                <w:rFonts w:ascii="Arial" w:hAnsi="Arial" w:cs="Arial"/>
              </w:rPr>
            </w:pPr>
            <w:r>
              <w:rPr>
                <w:rFonts w:ascii="Arial" w:hAnsi="Arial" w:cs="Arial"/>
                <w:sz w:val="20"/>
                <w:szCs w:val="20"/>
              </w:rPr>
              <w:t>- Quyết định số 4021/QĐ-UB ngày 13/12/2004 của UBND tỉnh về việc phê duyệt đề án cải cách thủ tục hành chính theo cơ chế một cửa của Sở Nội vụ;</w:t>
            </w:r>
          </w:p>
          <w:p w:rsidR="00D877B7" w:rsidRDefault="00D877B7" w:rsidP="00D877B7">
            <w:pPr>
              <w:rPr>
                <w:rFonts w:ascii="Arial" w:hAnsi="Arial" w:cs="Arial"/>
              </w:rPr>
            </w:pPr>
            <w:r>
              <w:rPr>
                <w:rFonts w:ascii="Arial" w:hAnsi="Arial" w:cs="Arial"/>
                <w:sz w:val="20"/>
                <w:szCs w:val="20"/>
              </w:rPr>
              <w:t>- Quyết định số 208/QĐ-SNV ngày 31/12/2008 của Giám đốc Sở Nội vụ về việc thực hiện cơ chế một cửa tại Sở Nội vụ;</w:t>
            </w:r>
          </w:p>
        </w:tc>
      </w:tr>
    </w:tbl>
    <w:p w:rsidR="003A714F" w:rsidRDefault="003A714F"/>
    <w:sectPr w:rsidR="003A714F" w:rsidSect="00DB0A58">
      <w:pgSz w:w="11907" w:h="16840" w:code="9"/>
      <w:pgMar w:top="1134" w:right="1134" w:bottom="1134" w:left="1701" w:header="720" w:footer="46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B7"/>
    <w:rsid w:val="001E21E0"/>
    <w:rsid w:val="003A714F"/>
    <w:rsid w:val="00547DF1"/>
    <w:rsid w:val="00591FFD"/>
    <w:rsid w:val="00A017A7"/>
    <w:rsid w:val="00AA0765"/>
    <w:rsid w:val="00AC6472"/>
    <w:rsid w:val="00AC7257"/>
    <w:rsid w:val="00B06D7D"/>
    <w:rsid w:val="00B72967"/>
    <w:rsid w:val="00C41884"/>
    <w:rsid w:val="00CB28F3"/>
    <w:rsid w:val="00D24800"/>
    <w:rsid w:val="00D877B7"/>
    <w:rsid w:val="00DB0A58"/>
    <w:rsid w:val="00E2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054C5"/>
  <w15:chartTrackingRefBased/>
  <w15:docId w15:val="{609A60B0-9842-4C77-8496-16FA63CE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17914">
      <w:bodyDiv w:val="1"/>
      <w:marLeft w:val="0"/>
      <w:marRight w:val="0"/>
      <w:marTop w:val="0"/>
      <w:marBottom w:val="0"/>
      <w:divBdr>
        <w:top w:val="none" w:sz="0" w:space="0" w:color="auto"/>
        <w:left w:val="none" w:sz="0" w:space="0" w:color="auto"/>
        <w:bottom w:val="none" w:sz="0" w:space="0" w:color="auto"/>
        <w:right w:val="none" w:sz="0" w:space="0" w:color="auto"/>
      </w:divBdr>
      <w:divsChild>
        <w:div w:id="858278484">
          <w:marLeft w:val="0"/>
          <w:marRight w:val="0"/>
          <w:marTop w:val="0"/>
          <w:marBottom w:val="0"/>
          <w:divBdr>
            <w:top w:val="none" w:sz="0" w:space="0" w:color="auto"/>
            <w:left w:val="none" w:sz="0" w:space="0" w:color="auto"/>
            <w:bottom w:val="none" w:sz="0" w:space="0" w:color="auto"/>
            <w:right w:val="none" w:sz="0" w:space="0" w:color="auto"/>
          </w:divBdr>
          <w:divsChild>
            <w:div w:id="1894389560">
              <w:marLeft w:val="0"/>
              <w:marRight w:val="0"/>
              <w:marTop w:val="120"/>
              <w:marBottom w:val="120"/>
              <w:divBdr>
                <w:top w:val="none" w:sz="0" w:space="0" w:color="auto"/>
                <w:left w:val="none" w:sz="0" w:space="0" w:color="auto"/>
                <w:bottom w:val="none" w:sz="0" w:space="0" w:color="auto"/>
                <w:right w:val="none" w:sz="0" w:space="0" w:color="auto"/>
              </w:divBdr>
            </w:div>
            <w:div w:id="1184443773">
              <w:marLeft w:val="0"/>
              <w:marRight w:val="0"/>
              <w:marTop w:val="120"/>
              <w:marBottom w:val="120"/>
              <w:divBdr>
                <w:top w:val="none" w:sz="0" w:space="0" w:color="auto"/>
                <w:left w:val="none" w:sz="0" w:space="0" w:color="auto"/>
                <w:bottom w:val="none" w:sz="0" w:space="0" w:color="auto"/>
                <w:right w:val="none" w:sz="0" w:space="0" w:color="auto"/>
              </w:divBdr>
            </w:div>
            <w:div w:id="467479921">
              <w:marLeft w:val="0"/>
              <w:marRight w:val="0"/>
              <w:marTop w:val="120"/>
              <w:marBottom w:val="120"/>
              <w:divBdr>
                <w:top w:val="none" w:sz="0" w:space="0" w:color="auto"/>
                <w:left w:val="none" w:sz="0" w:space="0" w:color="auto"/>
                <w:bottom w:val="none" w:sz="0" w:space="0" w:color="auto"/>
                <w:right w:val="none" w:sz="0" w:space="0" w:color="auto"/>
              </w:divBdr>
            </w:div>
            <w:div w:id="1670257741">
              <w:marLeft w:val="0"/>
              <w:marRight w:val="0"/>
              <w:marTop w:val="120"/>
              <w:marBottom w:val="120"/>
              <w:divBdr>
                <w:top w:val="none" w:sz="0" w:space="0" w:color="auto"/>
                <w:left w:val="none" w:sz="0" w:space="0" w:color="auto"/>
                <w:bottom w:val="none" w:sz="0" w:space="0" w:color="auto"/>
                <w:right w:val="none" w:sz="0" w:space="0" w:color="auto"/>
              </w:divBdr>
            </w:div>
            <w:div w:id="1293751789">
              <w:marLeft w:val="0"/>
              <w:marRight w:val="0"/>
              <w:marTop w:val="120"/>
              <w:marBottom w:val="120"/>
              <w:divBdr>
                <w:top w:val="none" w:sz="0" w:space="0" w:color="auto"/>
                <w:left w:val="none" w:sz="0" w:space="0" w:color="auto"/>
                <w:bottom w:val="none" w:sz="0" w:space="0" w:color="auto"/>
                <w:right w:val="none" w:sz="0" w:space="0" w:color="auto"/>
              </w:divBdr>
            </w:div>
            <w:div w:id="898783760">
              <w:marLeft w:val="0"/>
              <w:marRight w:val="0"/>
              <w:marTop w:val="120"/>
              <w:marBottom w:val="120"/>
              <w:divBdr>
                <w:top w:val="none" w:sz="0" w:space="0" w:color="auto"/>
                <w:left w:val="none" w:sz="0" w:space="0" w:color="auto"/>
                <w:bottom w:val="none" w:sz="0" w:space="0" w:color="auto"/>
                <w:right w:val="none" w:sz="0" w:space="0" w:color="auto"/>
              </w:divBdr>
            </w:div>
            <w:div w:id="1049379445">
              <w:marLeft w:val="0"/>
              <w:marRight w:val="0"/>
              <w:marTop w:val="120"/>
              <w:marBottom w:val="120"/>
              <w:divBdr>
                <w:top w:val="none" w:sz="0" w:space="0" w:color="auto"/>
                <w:left w:val="none" w:sz="0" w:space="0" w:color="auto"/>
                <w:bottom w:val="none" w:sz="0" w:space="0" w:color="auto"/>
                <w:right w:val="none" w:sz="0" w:space="0" w:color="auto"/>
              </w:divBdr>
            </w:div>
            <w:div w:id="609508121">
              <w:marLeft w:val="0"/>
              <w:marRight w:val="0"/>
              <w:marTop w:val="120"/>
              <w:marBottom w:val="120"/>
              <w:divBdr>
                <w:top w:val="none" w:sz="0" w:space="0" w:color="auto"/>
                <w:left w:val="none" w:sz="0" w:space="0" w:color="auto"/>
                <w:bottom w:val="none" w:sz="0" w:space="0" w:color="auto"/>
                <w:right w:val="none" w:sz="0" w:space="0" w:color="auto"/>
              </w:divBdr>
            </w:div>
            <w:div w:id="1936402399">
              <w:marLeft w:val="0"/>
              <w:marRight w:val="0"/>
              <w:marTop w:val="120"/>
              <w:marBottom w:val="120"/>
              <w:divBdr>
                <w:top w:val="none" w:sz="0" w:space="0" w:color="auto"/>
                <w:left w:val="none" w:sz="0" w:space="0" w:color="auto"/>
                <w:bottom w:val="none" w:sz="0" w:space="0" w:color="auto"/>
                <w:right w:val="none" w:sz="0" w:space="0" w:color="auto"/>
              </w:divBdr>
            </w:div>
            <w:div w:id="549652403">
              <w:marLeft w:val="0"/>
              <w:marRight w:val="0"/>
              <w:marTop w:val="120"/>
              <w:marBottom w:val="120"/>
              <w:divBdr>
                <w:top w:val="none" w:sz="0" w:space="0" w:color="auto"/>
                <w:left w:val="none" w:sz="0" w:space="0" w:color="auto"/>
                <w:bottom w:val="none" w:sz="0" w:space="0" w:color="auto"/>
                <w:right w:val="none" w:sz="0" w:space="0" w:color="auto"/>
              </w:divBdr>
            </w:div>
            <w:div w:id="1580940265">
              <w:marLeft w:val="0"/>
              <w:marRight w:val="0"/>
              <w:marTop w:val="120"/>
              <w:marBottom w:val="120"/>
              <w:divBdr>
                <w:top w:val="none" w:sz="0" w:space="0" w:color="auto"/>
                <w:left w:val="none" w:sz="0" w:space="0" w:color="auto"/>
                <w:bottom w:val="none" w:sz="0" w:space="0" w:color="auto"/>
                <w:right w:val="none" w:sz="0" w:space="0" w:color="auto"/>
              </w:divBdr>
            </w:div>
            <w:div w:id="1658420377">
              <w:marLeft w:val="0"/>
              <w:marRight w:val="0"/>
              <w:marTop w:val="120"/>
              <w:marBottom w:val="120"/>
              <w:divBdr>
                <w:top w:val="none" w:sz="0" w:space="0" w:color="auto"/>
                <w:left w:val="none" w:sz="0" w:space="0" w:color="auto"/>
                <w:bottom w:val="none" w:sz="0" w:space="0" w:color="auto"/>
                <w:right w:val="none" w:sz="0" w:space="0" w:color="auto"/>
              </w:divBdr>
            </w:div>
            <w:div w:id="464474011">
              <w:marLeft w:val="0"/>
              <w:marRight w:val="0"/>
              <w:marTop w:val="120"/>
              <w:marBottom w:val="120"/>
              <w:divBdr>
                <w:top w:val="none" w:sz="0" w:space="0" w:color="auto"/>
                <w:left w:val="none" w:sz="0" w:space="0" w:color="auto"/>
                <w:bottom w:val="none" w:sz="0" w:space="0" w:color="auto"/>
                <w:right w:val="none" w:sz="0" w:space="0" w:color="auto"/>
              </w:divBdr>
            </w:div>
            <w:div w:id="438139889">
              <w:marLeft w:val="0"/>
              <w:marRight w:val="0"/>
              <w:marTop w:val="120"/>
              <w:marBottom w:val="120"/>
              <w:divBdr>
                <w:top w:val="none" w:sz="0" w:space="0" w:color="auto"/>
                <w:left w:val="none" w:sz="0" w:space="0" w:color="auto"/>
                <w:bottom w:val="none" w:sz="0" w:space="0" w:color="auto"/>
                <w:right w:val="none" w:sz="0" w:space="0" w:color="auto"/>
              </w:divBdr>
            </w:div>
            <w:div w:id="1952591509">
              <w:marLeft w:val="0"/>
              <w:marRight w:val="0"/>
              <w:marTop w:val="120"/>
              <w:marBottom w:val="120"/>
              <w:divBdr>
                <w:top w:val="none" w:sz="0" w:space="0" w:color="auto"/>
                <w:left w:val="none" w:sz="0" w:space="0" w:color="auto"/>
                <w:bottom w:val="none" w:sz="0" w:space="0" w:color="auto"/>
                <w:right w:val="none" w:sz="0" w:space="0" w:color="auto"/>
              </w:divBdr>
            </w:div>
            <w:div w:id="241187399">
              <w:marLeft w:val="0"/>
              <w:marRight w:val="0"/>
              <w:marTop w:val="120"/>
              <w:marBottom w:val="120"/>
              <w:divBdr>
                <w:top w:val="none" w:sz="0" w:space="0" w:color="auto"/>
                <w:left w:val="none" w:sz="0" w:space="0" w:color="auto"/>
                <w:bottom w:val="none" w:sz="0" w:space="0" w:color="auto"/>
                <w:right w:val="none" w:sz="0" w:space="0" w:color="auto"/>
              </w:divBdr>
            </w:div>
            <w:div w:id="1194154038">
              <w:marLeft w:val="0"/>
              <w:marRight w:val="0"/>
              <w:marTop w:val="120"/>
              <w:marBottom w:val="120"/>
              <w:divBdr>
                <w:top w:val="none" w:sz="0" w:space="0" w:color="auto"/>
                <w:left w:val="none" w:sz="0" w:space="0" w:color="auto"/>
                <w:bottom w:val="none" w:sz="0" w:space="0" w:color="auto"/>
                <w:right w:val="none" w:sz="0" w:space="0" w:color="auto"/>
              </w:divBdr>
            </w:div>
            <w:div w:id="954024238">
              <w:marLeft w:val="0"/>
              <w:marRight w:val="0"/>
              <w:marTop w:val="120"/>
              <w:marBottom w:val="120"/>
              <w:divBdr>
                <w:top w:val="none" w:sz="0" w:space="0" w:color="auto"/>
                <w:left w:val="none" w:sz="0" w:space="0" w:color="auto"/>
                <w:bottom w:val="none" w:sz="0" w:space="0" w:color="auto"/>
                <w:right w:val="none" w:sz="0" w:space="0" w:color="auto"/>
              </w:divBdr>
            </w:div>
            <w:div w:id="606933106">
              <w:marLeft w:val="0"/>
              <w:marRight w:val="0"/>
              <w:marTop w:val="120"/>
              <w:marBottom w:val="120"/>
              <w:divBdr>
                <w:top w:val="none" w:sz="0" w:space="0" w:color="auto"/>
                <w:left w:val="none" w:sz="0" w:space="0" w:color="auto"/>
                <w:bottom w:val="none" w:sz="0" w:space="0" w:color="auto"/>
                <w:right w:val="none" w:sz="0" w:space="0" w:color="auto"/>
              </w:divBdr>
            </w:div>
            <w:div w:id="2056735777">
              <w:marLeft w:val="0"/>
              <w:marRight w:val="0"/>
              <w:marTop w:val="120"/>
              <w:marBottom w:val="120"/>
              <w:divBdr>
                <w:top w:val="none" w:sz="0" w:space="0" w:color="auto"/>
                <w:left w:val="none" w:sz="0" w:space="0" w:color="auto"/>
                <w:bottom w:val="none" w:sz="0" w:space="0" w:color="auto"/>
                <w:right w:val="none" w:sz="0" w:space="0" w:color="auto"/>
              </w:divBdr>
            </w:div>
            <w:div w:id="823859730">
              <w:marLeft w:val="0"/>
              <w:marRight w:val="0"/>
              <w:marTop w:val="120"/>
              <w:marBottom w:val="120"/>
              <w:divBdr>
                <w:top w:val="none" w:sz="0" w:space="0" w:color="auto"/>
                <w:left w:val="none" w:sz="0" w:space="0" w:color="auto"/>
                <w:bottom w:val="none" w:sz="0" w:space="0" w:color="auto"/>
                <w:right w:val="none" w:sz="0" w:space="0" w:color="auto"/>
              </w:divBdr>
            </w:div>
            <w:div w:id="882404968">
              <w:marLeft w:val="0"/>
              <w:marRight w:val="0"/>
              <w:marTop w:val="120"/>
              <w:marBottom w:val="120"/>
              <w:divBdr>
                <w:top w:val="none" w:sz="0" w:space="0" w:color="auto"/>
                <w:left w:val="none" w:sz="0" w:space="0" w:color="auto"/>
                <w:bottom w:val="none" w:sz="0" w:space="0" w:color="auto"/>
                <w:right w:val="none" w:sz="0" w:space="0" w:color="auto"/>
              </w:divBdr>
            </w:div>
            <w:div w:id="801967158">
              <w:marLeft w:val="0"/>
              <w:marRight w:val="0"/>
              <w:marTop w:val="120"/>
              <w:marBottom w:val="120"/>
              <w:divBdr>
                <w:top w:val="none" w:sz="0" w:space="0" w:color="auto"/>
                <w:left w:val="none" w:sz="0" w:space="0" w:color="auto"/>
                <w:bottom w:val="none" w:sz="0" w:space="0" w:color="auto"/>
                <w:right w:val="none" w:sz="0" w:space="0" w:color="auto"/>
              </w:divBdr>
            </w:div>
            <w:div w:id="2092576164">
              <w:marLeft w:val="0"/>
              <w:marRight w:val="0"/>
              <w:marTop w:val="120"/>
              <w:marBottom w:val="120"/>
              <w:divBdr>
                <w:top w:val="none" w:sz="0" w:space="0" w:color="auto"/>
                <w:left w:val="none" w:sz="0" w:space="0" w:color="auto"/>
                <w:bottom w:val="none" w:sz="0" w:space="0" w:color="auto"/>
                <w:right w:val="none" w:sz="0" w:space="0" w:color="auto"/>
              </w:divBdr>
            </w:div>
            <w:div w:id="114371473">
              <w:marLeft w:val="0"/>
              <w:marRight w:val="0"/>
              <w:marTop w:val="120"/>
              <w:marBottom w:val="120"/>
              <w:divBdr>
                <w:top w:val="none" w:sz="0" w:space="0" w:color="auto"/>
                <w:left w:val="none" w:sz="0" w:space="0" w:color="auto"/>
                <w:bottom w:val="none" w:sz="0" w:space="0" w:color="auto"/>
                <w:right w:val="none" w:sz="0" w:space="0" w:color="auto"/>
              </w:divBdr>
            </w:div>
            <w:div w:id="2037802043">
              <w:marLeft w:val="0"/>
              <w:marRight w:val="0"/>
              <w:marTop w:val="120"/>
              <w:marBottom w:val="120"/>
              <w:divBdr>
                <w:top w:val="none" w:sz="0" w:space="0" w:color="auto"/>
                <w:left w:val="none" w:sz="0" w:space="0" w:color="auto"/>
                <w:bottom w:val="none" w:sz="0" w:space="0" w:color="auto"/>
                <w:right w:val="none" w:sz="0" w:space="0" w:color="auto"/>
              </w:divBdr>
            </w:div>
            <w:div w:id="1200363983">
              <w:marLeft w:val="0"/>
              <w:marRight w:val="0"/>
              <w:marTop w:val="120"/>
              <w:marBottom w:val="120"/>
              <w:divBdr>
                <w:top w:val="none" w:sz="0" w:space="0" w:color="auto"/>
                <w:left w:val="none" w:sz="0" w:space="0" w:color="auto"/>
                <w:bottom w:val="none" w:sz="0" w:space="0" w:color="auto"/>
                <w:right w:val="none" w:sz="0" w:space="0" w:color="auto"/>
              </w:divBdr>
            </w:div>
            <w:div w:id="946306859">
              <w:marLeft w:val="0"/>
              <w:marRight w:val="0"/>
              <w:marTop w:val="120"/>
              <w:marBottom w:val="120"/>
              <w:divBdr>
                <w:top w:val="none" w:sz="0" w:space="0" w:color="auto"/>
                <w:left w:val="none" w:sz="0" w:space="0" w:color="auto"/>
                <w:bottom w:val="none" w:sz="0" w:space="0" w:color="auto"/>
                <w:right w:val="none" w:sz="0" w:space="0" w:color="auto"/>
              </w:divBdr>
            </w:div>
            <w:div w:id="1245995929">
              <w:marLeft w:val="0"/>
              <w:marRight w:val="0"/>
              <w:marTop w:val="120"/>
              <w:marBottom w:val="120"/>
              <w:divBdr>
                <w:top w:val="none" w:sz="0" w:space="0" w:color="auto"/>
                <w:left w:val="none" w:sz="0" w:space="0" w:color="auto"/>
                <w:bottom w:val="none" w:sz="0" w:space="0" w:color="auto"/>
                <w:right w:val="none" w:sz="0" w:space="0" w:color="auto"/>
              </w:divBdr>
            </w:div>
            <w:div w:id="389309626">
              <w:marLeft w:val="0"/>
              <w:marRight w:val="0"/>
              <w:marTop w:val="120"/>
              <w:marBottom w:val="120"/>
              <w:divBdr>
                <w:top w:val="none" w:sz="0" w:space="0" w:color="auto"/>
                <w:left w:val="none" w:sz="0" w:space="0" w:color="auto"/>
                <w:bottom w:val="none" w:sz="0" w:space="0" w:color="auto"/>
                <w:right w:val="none" w:sz="0" w:space="0" w:color="auto"/>
              </w:divBdr>
            </w:div>
            <w:div w:id="1622804698">
              <w:marLeft w:val="0"/>
              <w:marRight w:val="0"/>
              <w:marTop w:val="120"/>
              <w:marBottom w:val="120"/>
              <w:divBdr>
                <w:top w:val="none" w:sz="0" w:space="0" w:color="auto"/>
                <w:left w:val="none" w:sz="0" w:space="0" w:color="auto"/>
                <w:bottom w:val="none" w:sz="0" w:space="0" w:color="auto"/>
                <w:right w:val="none" w:sz="0" w:space="0" w:color="auto"/>
              </w:divBdr>
            </w:div>
            <w:div w:id="402410301">
              <w:marLeft w:val="0"/>
              <w:marRight w:val="0"/>
              <w:marTop w:val="120"/>
              <w:marBottom w:val="120"/>
              <w:divBdr>
                <w:top w:val="none" w:sz="0" w:space="0" w:color="auto"/>
                <w:left w:val="none" w:sz="0" w:space="0" w:color="auto"/>
                <w:bottom w:val="none" w:sz="0" w:space="0" w:color="auto"/>
                <w:right w:val="none" w:sz="0" w:space="0" w:color="auto"/>
              </w:divBdr>
            </w:div>
            <w:div w:id="2047630862">
              <w:marLeft w:val="0"/>
              <w:marRight w:val="0"/>
              <w:marTop w:val="120"/>
              <w:marBottom w:val="120"/>
              <w:divBdr>
                <w:top w:val="none" w:sz="0" w:space="0" w:color="auto"/>
                <w:left w:val="none" w:sz="0" w:space="0" w:color="auto"/>
                <w:bottom w:val="none" w:sz="0" w:space="0" w:color="auto"/>
                <w:right w:val="none" w:sz="0" w:space="0" w:color="auto"/>
              </w:divBdr>
            </w:div>
            <w:div w:id="1673216749">
              <w:marLeft w:val="0"/>
              <w:marRight w:val="0"/>
              <w:marTop w:val="120"/>
              <w:marBottom w:val="120"/>
              <w:divBdr>
                <w:top w:val="none" w:sz="0" w:space="0" w:color="auto"/>
                <w:left w:val="none" w:sz="0" w:space="0" w:color="auto"/>
                <w:bottom w:val="none" w:sz="0" w:space="0" w:color="auto"/>
                <w:right w:val="none" w:sz="0" w:space="0" w:color="auto"/>
              </w:divBdr>
            </w:div>
            <w:div w:id="187917541">
              <w:marLeft w:val="0"/>
              <w:marRight w:val="0"/>
              <w:marTop w:val="120"/>
              <w:marBottom w:val="120"/>
              <w:divBdr>
                <w:top w:val="none" w:sz="0" w:space="0" w:color="auto"/>
                <w:left w:val="none" w:sz="0" w:space="0" w:color="auto"/>
                <w:bottom w:val="none" w:sz="0" w:space="0" w:color="auto"/>
                <w:right w:val="none" w:sz="0" w:space="0" w:color="auto"/>
              </w:divBdr>
            </w:div>
            <w:div w:id="1186022764">
              <w:marLeft w:val="0"/>
              <w:marRight w:val="0"/>
              <w:marTop w:val="120"/>
              <w:marBottom w:val="120"/>
              <w:divBdr>
                <w:top w:val="none" w:sz="0" w:space="0" w:color="auto"/>
                <w:left w:val="none" w:sz="0" w:space="0" w:color="auto"/>
                <w:bottom w:val="none" w:sz="0" w:space="0" w:color="auto"/>
                <w:right w:val="none" w:sz="0" w:space="0" w:color="auto"/>
              </w:divBdr>
            </w:div>
            <w:div w:id="1571309296">
              <w:marLeft w:val="0"/>
              <w:marRight w:val="0"/>
              <w:marTop w:val="120"/>
              <w:marBottom w:val="120"/>
              <w:divBdr>
                <w:top w:val="none" w:sz="0" w:space="0" w:color="auto"/>
                <w:left w:val="none" w:sz="0" w:space="0" w:color="auto"/>
                <w:bottom w:val="none" w:sz="0" w:space="0" w:color="auto"/>
                <w:right w:val="none" w:sz="0" w:space="0" w:color="auto"/>
              </w:divBdr>
            </w:div>
            <w:div w:id="1997417638">
              <w:marLeft w:val="0"/>
              <w:marRight w:val="0"/>
              <w:marTop w:val="120"/>
              <w:marBottom w:val="120"/>
              <w:divBdr>
                <w:top w:val="none" w:sz="0" w:space="0" w:color="auto"/>
                <w:left w:val="none" w:sz="0" w:space="0" w:color="auto"/>
                <w:bottom w:val="none" w:sz="0" w:space="0" w:color="auto"/>
                <w:right w:val="none" w:sz="0" w:space="0" w:color="auto"/>
              </w:divBdr>
            </w:div>
            <w:div w:id="1783843244">
              <w:marLeft w:val="0"/>
              <w:marRight w:val="0"/>
              <w:marTop w:val="120"/>
              <w:marBottom w:val="120"/>
              <w:divBdr>
                <w:top w:val="none" w:sz="0" w:space="0" w:color="auto"/>
                <w:left w:val="none" w:sz="0" w:space="0" w:color="auto"/>
                <w:bottom w:val="none" w:sz="0" w:space="0" w:color="auto"/>
                <w:right w:val="none" w:sz="0" w:space="0" w:color="auto"/>
              </w:divBdr>
            </w:div>
            <w:div w:id="1921408621">
              <w:marLeft w:val="0"/>
              <w:marRight w:val="0"/>
              <w:marTop w:val="120"/>
              <w:marBottom w:val="120"/>
              <w:divBdr>
                <w:top w:val="none" w:sz="0" w:space="0" w:color="auto"/>
                <w:left w:val="none" w:sz="0" w:space="0" w:color="auto"/>
                <w:bottom w:val="none" w:sz="0" w:space="0" w:color="auto"/>
                <w:right w:val="none" w:sz="0" w:space="0" w:color="auto"/>
              </w:divBdr>
            </w:div>
            <w:div w:id="825631665">
              <w:marLeft w:val="0"/>
              <w:marRight w:val="0"/>
              <w:marTop w:val="120"/>
              <w:marBottom w:val="120"/>
              <w:divBdr>
                <w:top w:val="none" w:sz="0" w:space="0" w:color="auto"/>
                <w:left w:val="none" w:sz="0" w:space="0" w:color="auto"/>
                <w:bottom w:val="none" w:sz="0" w:space="0" w:color="auto"/>
                <w:right w:val="none" w:sz="0" w:space="0" w:color="auto"/>
              </w:divBdr>
            </w:div>
            <w:div w:id="1626354770">
              <w:marLeft w:val="0"/>
              <w:marRight w:val="0"/>
              <w:marTop w:val="120"/>
              <w:marBottom w:val="120"/>
              <w:divBdr>
                <w:top w:val="none" w:sz="0" w:space="0" w:color="auto"/>
                <w:left w:val="none" w:sz="0" w:space="0" w:color="auto"/>
                <w:bottom w:val="none" w:sz="0" w:space="0" w:color="auto"/>
                <w:right w:val="none" w:sz="0" w:space="0" w:color="auto"/>
              </w:divBdr>
            </w:div>
            <w:div w:id="998117205">
              <w:marLeft w:val="0"/>
              <w:marRight w:val="0"/>
              <w:marTop w:val="120"/>
              <w:marBottom w:val="120"/>
              <w:divBdr>
                <w:top w:val="none" w:sz="0" w:space="0" w:color="auto"/>
                <w:left w:val="none" w:sz="0" w:space="0" w:color="auto"/>
                <w:bottom w:val="none" w:sz="0" w:space="0" w:color="auto"/>
                <w:right w:val="none" w:sz="0" w:space="0" w:color="auto"/>
              </w:divBdr>
            </w:div>
            <w:div w:id="768890323">
              <w:marLeft w:val="0"/>
              <w:marRight w:val="0"/>
              <w:marTop w:val="120"/>
              <w:marBottom w:val="120"/>
              <w:divBdr>
                <w:top w:val="none" w:sz="0" w:space="0" w:color="auto"/>
                <w:left w:val="none" w:sz="0" w:space="0" w:color="auto"/>
                <w:bottom w:val="none" w:sz="0" w:space="0" w:color="auto"/>
                <w:right w:val="none" w:sz="0" w:space="0" w:color="auto"/>
              </w:divBdr>
            </w:div>
            <w:div w:id="598677344">
              <w:marLeft w:val="0"/>
              <w:marRight w:val="0"/>
              <w:marTop w:val="120"/>
              <w:marBottom w:val="120"/>
              <w:divBdr>
                <w:top w:val="none" w:sz="0" w:space="0" w:color="auto"/>
                <w:left w:val="none" w:sz="0" w:space="0" w:color="auto"/>
                <w:bottom w:val="none" w:sz="0" w:space="0" w:color="auto"/>
                <w:right w:val="none" w:sz="0" w:space="0" w:color="auto"/>
              </w:divBdr>
            </w:div>
            <w:div w:id="1505363361">
              <w:marLeft w:val="0"/>
              <w:marRight w:val="0"/>
              <w:marTop w:val="120"/>
              <w:marBottom w:val="120"/>
              <w:divBdr>
                <w:top w:val="none" w:sz="0" w:space="0" w:color="auto"/>
                <w:left w:val="none" w:sz="0" w:space="0" w:color="auto"/>
                <w:bottom w:val="none" w:sz="0" w:space="0" w:color="auto"/>
                <w:right w:val="none" w:sz="0" w:space="0" w:color="auto"/>
              </w:divBdr>
            </w:div>
            <w:div w:id="17812157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DINH HIEN</dc:creator>
  <cp:keywords/>
  <dc:description/>
  <cp:lastModifiedBy>HOANG DINH HIEN</cp:lastModifiedBy>
  <cp:revision>1</cp:revision>
  <dcterms:created xsi:type="dcterms:W3CDTF">2018-04-23T04:09:00Z</dcterms:created>
  <dcterms:modified xsi:type="dcterms:W3CDTF">2018-04-23T06:22:00Z</dcterms:modified>
</cp:coreProperties>
</file>